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Návrh VZN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vyvesený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úradnej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tabuli v obci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Štefanov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dňa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1.decembra 2008. 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VZN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vyvesené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úradnej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tabuli v obci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Štefanov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dňa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15.decembra 2008. 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VZN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nadobúda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účinnosť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dňa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01.01.2009                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Obecné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zastupiteľstvo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Štefanove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 základe  §23 ods.4 zákona NR SR č.187/1998 Z.z.,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ktorým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dopĺňa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zákon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Slovenskej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národnej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rady č.80/1990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voľbách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Slovenskej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národnej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rady v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neskorších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predpisov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o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zmene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doplnení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ďalších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zákonov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   v y d á v a  toto 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VŠEOBECNE  ZÁVÄZNÉ  NARIADENIE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č.10/2009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 xml:space="preserve">o určení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vyhradených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plôch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na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verejných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priestranstváchna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vylepovanie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volebných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plagátov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počas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volebnej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16"/>
          <w:szCs w:val="16"/>
        </w:rPr>
        <w:t>kampane</w:t>
      </w:r>
      <w:proofErr w:type="spellEnd"/>
      <w:r>
        <w:rPr>
          <w:rStyle w:val="Siln"/>
          <w:rFonts w:ascii="Arial" w:hAnsi="Arial" w:cs="Arial"/>
          <w:color w:val="000000"/>
          <w:sz w:val="16"/>
          <w:szCs w:val="16"/>
        </w:rPr>
        <w:t>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 xml:space="preserve">Čl. 1        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Vylepovať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volebné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plagáty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verejných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priestranstvách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počas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volebnej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kampane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možnolen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plagátovej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ploche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ktoré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určuje toto VZN.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Vyčlenená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plagátovej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plocha musí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zodpovedať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zásadám rovnosti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kandidujúcich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politických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strán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 hnutí. 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Čl. 2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 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Plagátovacou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plochou 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miesto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Kultúrnym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domom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ktorú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tento účel v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lehote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ustanovenej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23 ods.1 citovaného zákona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pripraví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obce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Štefanov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 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Čl. 3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 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Použitie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plagátovacej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plochy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kandidujúce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strany a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hnutia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je bezplatné.   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Čl. 4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 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V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porušenia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tohto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VZN bude obec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voči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právnickým osobám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postupovať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podľa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13 a zákona SNR č.369/1990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o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zriadení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znení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neskorších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predpisov.Porušenie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VZN fyzickými osobami bude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riešené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podľa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 46 zákona SNR č.372/1990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Zb.o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priestupkoch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Čl. 5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 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Všeobecne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záväzné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nariadenie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bolo schválené na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Obecnom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zastupiteľstvev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Štefanove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dňa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12.decembra 2008.  </w:t>
      </w:r>
    </w:p>
    <w:p w:rsidR="009A00B5" w:rsidRDefault="009A00B5" w:rsidP="009A00B5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Čl. 6</w:t>
      </w:r>
      <w:r>
        <w:rPr>
          <w:rFonts w:ascii="Arial" w:hAnsi="Arial" w:cs="Arial"/>
          <w:color w:val="000000"/>
          <w:sz w:val="16"/>
          <w:szCs w:val="16"/>
        </w:rPr>
        <w:t xml:space="preserve">               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Všeobecne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záväzné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nariadenie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nadobúda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účinnosť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dňom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1.januára 2009.      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Verdana" w:hAnsi="Verdana"/>
          <w:color w:val="003355"/>
          <w:sz w:val="17"/>
          <w:szCs w:val="17"/>
        </w:rPr>
        <w:t> </w:t>
      </w:r>
    </w:p>
    <w:p w:rsidR="009A00B5" w:rsidRDefault="009A00B5" w:rsidP="009A00B5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V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Štefanove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dňa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15.decembra 2008</w:t>
      </w:r>
    </w:p>
    <w:p w:rsidR="009A00B5" w:rsidRDefault="009A00B5" w:rsidP="009A00B5">
      <w:pPr>
        <w:pStyle w:val="Normlnweb"/>
        <w:jc w:val="right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</w:t>
      </w:r>
    </w:p>
    <w:p w:rsidR="009A00B5" w:rsidRDefault="009A00B5" w:rsidP="009A00B5">
      <w:pPr>
        <w:pStyle w:val="Normlnweb"/>
        <w:jc w:val="right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Rudolf Polák,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starota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obce</w:t>
      </w:r>
    </w:p>
    <w:p w:rsidR="003F1172" w:rsidRDefault="003F1172"/>
    <w:sectPr w:rsidR="003F1172" w:rsidSect="003F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0B5"/>
    <w:rsid w:val="003F1172"/>
    <w:rsid w:val="009A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0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2015-06-09T20:39:00Z</dcterms:created>
  <dcterms:modified xsi:type="dcterms:W3CDTF">2015-06-09T20:39:00Z</dcterms:modified>
</cp:coreProperties>
</file>